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9"/>
        <w:rPr>
          <w:rFonts w:ascii="Times New Roman"/>
          <w:sz w:val="24"/>
        </w:rPr>
      </w:pPr>
    </w:p>
    <w:p>
      <w:pPr>
        <w:pStyle w:val="2"/>
        <w:spacing w:before="101"/>
        <w:ind w:right="1035"/>
        <w:rPr>
          <w:rFonts w:eastAsiaTheme="minorEastAsia"/>
          <w:lang w:eastAsia="zh-CN"/>
        </w:rPr>
      </w:pPr>
      <w:r>
        <w:t>Appendix Y – List of Approved Subcontractors</w:t>
      </w:r>
    </w:p>
    <w:p>
      <w:pPr>
        <w:pStyle w:val="2"/>
        <w:spacing w:before="101"/>
        <w:ind w:right="1035"/>
        <w:rPr>
          <w:rFonts w:ascii="Segoe UI" w:eastAsiaTheme="minorEastAsia"/>
          <w:sz w:val="21"/>
          <w:lang w:eastAsia="zh-CN"/>
        </w:rPr>
      </w:pPr>
    </w:p>
    <w:p>
      <w:pPr>
        <w:pStyle w:val="2"/>
        <w:spacing w:before="100"/>
        <w:ind w:left="180"/>
        <w:jc w:val="both"/>
      </w:pPr>
      <w:r>
        <w:t xml:space="preserve">Part </w:t>
      </w:r>
      <w:r>
        <w:rPr>
          <w:rFonts w:hint="eastAsia" w:eastAsiaTheme="minorEastAsia"/>
          <w:lang w:eastAsia="zh-CN"/>
        </w:rPr>
        <w:t>1</w:t>
      </w:r>
      <w:r>
        <w:t xml:space="preserve"> – Subcontractors</w:t>
      </w:r>
    </w:p>
    <w:p>
      <w:pPr>
        <w:pStyle w:val="3"/>
        <w:spacing w:before="243" w:line="276" w:lineRule="auto"/>
        <w:ind w:left="180" w:right="358"/>
        <w:jc w:val="both"/>
      </w:pPr>
      <w:r>
        <w:t>All</w:t>
      </w:r>
      <w:r>
        <w:rPr>
          <w:spacing w:val="-21"/>
        </w:rPr>
        <w:t xml:space="preserve"> </w:t>
      </w:r>
      <w:r>
        <w:t>Subcontractors</w:t>
      </w:r>
      <w:r>
        <w:rPr>
          <w:spacing w:val="-18"/>
        </w:rPr>
        <w:t xml:space="preserve"> </w:t>
      </w:r>
      <w:r>
        <w:t>must</w:t>
      </w:r>
      <w:r>
        <w:rPr>
          <w:spacing w:val="-20"/>
        </w:rPr>
        <w:t xml:space="preserve"> </w:t>
      </w:r>
      <w:r>
        <w:t>have</w:t>
      </w:r>
      <w:r>
        <w:rPr>
          <w:spacing w:val="-20"/>
        </w:rPr>
        <w:t xml:space="preserve"> </w:t>
      </w:r>
      <w:r>
        <w:t>demonstrated</w:t>
      </w:r>
      <w:r>
        <w:rPr>
          <w:spacing w:val="-15"/>
        </w:rPr>
        <w:t xml:space="preserve"> </w:t>
      </w:r>
      <w:r>
        <w:t>experience</w:t>
      </w:r>
      <w:r>
        <w:rPr>
          <w:spacing w:val="-17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having</w:t>
      </w:r>
      <w:r>
        <w:rPr>
          <w:spacing w:val="-17"/>
        </w:rPr>
        <w:t xml:space="preserve"> </w:t>
      </w:r>
      <w:r>
        <w:t>executed</w:t>
      </w:r>
      <w:r>
        <w:rPr>
          <w:spacing w:val="-17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same</w:t>
      </w:r>
      <w:r>
        <w:rPr>
          <w:spacing w:val="-19"/>
        </w:rPr>
        <w:t xml:space="preserve"> </w:t>
      </w:r>
      <w:r>
        <w:t>scope of</w:t>
      </w:r>
      <w:r>
        <w:rPr>
          <w:spacing w:val="-7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international</w:t>
      </w:r>
      <w:r>
        <w:rPr>
          <w:spacing w:val="-3"/>
        </w:rPr>
        <w:t xml:space="preserve"> </w:t>
      </w:r>
      <w:r>
        <w:t>PV</w:t>
      </w:r>
      <w:r>
        <w:rPr>
          <w:spacing w:val="-6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5"/>
        </w:rPr>
        <w:t xml:space="preserve"> </w:t>
      </w:r>
      <w:r>
        <w:t>references</w:t>
      </w:r>
      <w:r>
        <w:rPr>
          <w:spacing w:val="1"/>
        </w:rPr>
        <w:t xml:space="preserve"> </w:t>
      </w:r>
      <w:r>
        <w:t>equivalent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Subcontract</w:t>
      </w:r>
      <w:r>
        <w:rPr>
          <w:spacing w:val="-4"/>
        </w:rPr>
        <w:t xml:space="preserve"> </w:t>
      </w:r>
      <w:r>
        <w:t xml:space="preserve">scope proposed to be awarded (in MW) or </w:t>
      </w:r>
      <w:r>
        <w:rPr>
          <w:rFonts w:hint="eastAsia" w:eastAsia="宋体"/>
          <w:lang w:val="en-US" w:eastAsia="zh-CN"/>
        </w:rPr>
        <w:t>10</w:t>
      </w:r>
      <w:r>
        <w:t>0 MW.</w:t>
      </w:r>
    </w:p>
    <w:p>
      <w:pPr>
        <w:pStyle w:val="3"/>
        <w:spacing w:before="7"/>
        <w:rPr>
          <w:sz w:val="16"/>
        </w:rPr>
      </w:pPr>
    </w:p>
    <w:tbl>
      <w:tblPr>
        <w:tblStyle w:val="8"/>
        <w:tblW w:w="0" w:type="auto"/>
        <w:tblInd w:w="1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0"/>
        <w:gridCol w:w="1841"/>
        <w:gridCol w:w="19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720" w:type="dxa"/>
            <w:shd w:val="clear" w:color="auto" w:fill="DADADA"/>
          </w:tcPr>
          <w:p>
            <w:pPr>
              <w:pStyle w:val="10"/>
              <w:spacing w:before="180"/>
              <w:ind w:left="1914" w:right="1913"/>
              <w:rPr>
                <w:b/>
                <w:sz w:val="20"/>
              </w:rPr>
            </w:pPr>
            <w:r>
              <w:rPr>
                <w:b/>
                <w:sz w:val="20"/>
              </w:rPr>
              <w:t>COMPANY NAME</w:t>
            </w:r>
          </w:p>
        </w:tc>
        <w:tc>
          <w:tcPr>
            <w:tcW w:w="1841" w:type="dxa"/>
            <w:shd w:val="clear" w:color="auto" w:fill="DADADA"/>
          </w:tcPr>
          <w:p>
            <w:pPr>
              <w:pStyle w:val="10"/>
              <w:spacing w:before="180"/>
              <w:ind w:left="16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WORK SCOPE</w:t>
            </w:r>
          </w:p>
        </w:tc>
        <w:tc>
          <w:tcPr>
            <w:tcW w:w="1980" w:type="dxa"/>
            <w:shd w:val="clear" w:color="auto" w:fill="DADADA"/>
          </w:tcPr>
          <w:p>
            <w:pPr>
              <w:pStyle w:val="10"/>
              <w:spacing w:before="41" w:line="276" w:lineRule="auto"/>
              <w:ind w:left="552" w:hanging="29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COUNTRY OF ORIGIN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720" w:type="dxa"/>
          </w:tcPr>
          <w:p>
            <w:pPr>
              <w:pStyle w:val="10"/>
              <w:spacing w:before="167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line="276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ind w:left="392" w:right="386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720" w:type="dxa"/>
          </w:tcPr>
          <w:p>
            <w:pPr>
              <w:pStyle w:val="10"/>
              <w:spacing w:line="276" w:lineRule="auto"/>
              <w:ind w:left="107" w:right="766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line="276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ind w:left="392" w:right="386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720" w:type="dxa"/>
          </w:tcPr>
          <w:p>
            <w:pPr>
              <w:pStyle w:val="10"/>
              <w:spacing w:before="167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line="276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ind w:left="396" w:right="386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720" w:type="dxa"/>
          </w:tcPr>
          <w:p>
            <w:pPr>
              <w:pStyle w:val="10"/>
              <w:spacing w:before="167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before="42" w:line="273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spacing w:before="42"/>
              <w:ind w:left="395" w:right="386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5720" w:type="dxa"/>
          </w:tcPr>
          <w:p>
            <w:pPr>
              <w:pStyle w:val="10"/>
              <w:spacing w:before="165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before="40" w:line="273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spacing w:before="40"/>
              <w:ind w:left="396" w:right="386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720" w:type="dxa"/>
          </w:tcPr>
          <w:p>
            <w:pPr>
              <w:pStyle w:val="10"/>
              <w:spacing w:before="159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line="273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ind w:left="396" w:right="38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720" w:type="dxa"/>
          </w:tcPr>
          <w:p>
            <w:pPr>
              <w:pStyle w:val="10"/>
              <w:spacing w:before="164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line="276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ind w:left="396" w:right="385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720" w:type="dxa"/>
          </w:tcPr>
          <w:p>
            <w:pPr>
              <w:pStyle w:val="10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ind w:left="107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ind w:left="396" w:right="386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720" w:type="dxa"/>
          </w:tcPr>
          <w:p>
            <w:pPr>
              <w:pStyle w:val="10"/>
              <w:spacing w:before="167"/>
              <w:ind w:left="107"/>
              <w:jc w:val="left"/>
              <w:rPr>
                <w:sz w:val="18"/>
              </w:rPr>
            </w:pPr>
          </w:p>
        </w:tc>
        <w:tc>
          <w:tcPr>
            <w:tcW w:w="1841" w:type="dxa"/>
          </w:tcPr>
          <w:p>
            <w:pPr>
              <w:pStyle w:val="10"/>
              <w:spacing w:before="42" w:line="273" w:lineRule="auto"/>
              <w:ind w:left="107" w:right="236"/>
              <w:jc w:val="left"/>
              <w:rPr>
                <w:sz w:val="18"/>
              </w:rPr>
            </w:pPr>
          </w:p>
        </w:tc>
        <w:tc>
          <w:tcPr>
            <w:tcW w:w="1980" w:type="dxa"/>
          </w:tcPr>
          <w:p>
            <w:pPr>
              <w:pStyle w:val="10"/>
              <w:spacing w:before="42"/>
              <w:ind w:left="395" w:right="386"/>
              <w:rPr>
                <w:sz w:val="18"/>
              </w:rPr>
            </w:pPr>
          </w:p>
        </w:tc>
      </w:tr>
    </w:tbl>
    <w:p>
      <w:pPr>
        <w:pStyle w:val="3"/>
        <w:spacing w:before="8"/>
        <w:rPr>
          <w:sz w:val="11"/>
        </w:rPr>
      </w:pPr>
    </w:p>
    <w:p>
      <w:pPr>
        <w:pStyle w:val="3"/>
      </w:pPr>
    </w:p>
    <w:p>
      <w:pPr>
        <w:pStyle w:val="3"/>
        <w:spacing w:before="4"/>
        <w:rPr>
          <w:sz w:val="19"/>
        </w:rPr>
      </w:pPr>
    </w:p>
    <w:p>
      <w:pPr>
        <w:ind w:left="180"/>
        <w:rPr>
          <w:i/>
          <w:sz w:val="20"/>
        </w:rPr>
      </w:pPr>
      <w:r>
        <w:rPr>
          <w:i/>
          <w:sz w:val="20"/>
        </w:rPr>
        <w:t>Note:</w:t>
      </w:r>
    </w:p>
    <w:p>
      <w:pPr>
        <w:pStyle w:val="3"/>
        <w:spacing w:before="6"/>
        <w:rPr>
          <w:i/>
          <w:sz w:val="19"/>
        </w:rPr>
      </w:pPr>
    </w:p>
    <w:p>
      <w:pPr>
        <w:pStyle w:val="9"/>
        <w:numPr>
          <w:ilvl w:val="1"/>
          <w:numId w:val="1"/>
        </w:numPr>
        <w:tabs>
          <w:tab w:val="left" w:pos="900"/>
          <w:tab w:val="left" w:pos="901"/>
        </w:tabs>
        <w:ind w:hanging="361"/>
        <w:jc w:val="left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>The above proposed Subcontractors are subject to approval by the</w:t>
      </w:r>
      <w:r>
        <w:rPr>
          <w:rFonts w:ascii="Verdana" w:hAnsi="Verdana"/>
          <w:i/>
          <w:spacing w:val="-14"/>
          <w:sz w:val="20"/>
        </w:rPr>
        <w:t xml:space="preserve"> </w:t>
      </w:r>
      <w:r>
        <w:rPr>
          <w:rFonts w:hint="eastAsia" w:ascii="Verdana" w:hAnsi="Verdana" w:eastAsiaTheme="minorEastAsia"/>
          <w:i/>
          <w:spacing w:val="-14"/>
          <w:sz w:val="20"/>
          <w:lang w:eastAsia="zh-CN"/>
        </w:rPr>
        <w:t xml:space="preserve">Owner and the </w:t>
      </w:r>
      <w:r>
        <w:rPr>
          <w:rFonts w:ascii="Verdana" w:hAnsi="Verdana"/>
          <w:i/>
          <w:sz w:val="20"/>
        </w:rPr>
        <w:t>Client.</w:t>
      </w:r>
    </w:p>
    <w:p>
      <w:pPr>
        <w:pStyle w:val="9"/>
        <w:numPr>
          <w:numId w:val="0"/>
        </w:numPr>
        <w:tabs>
          <w:tab w:val="left" w:pos="900"/>
          <w:tab w:val="left" w:pos="901"/>
        </w:tabs>
        <w:spacing w:before="37" w:line="273" w:lineRule="auto"/>
        <w:ind w:left="540" w:leftChars="0" w:right="368" w:rightChars="0"/>
        <w:jc w:val="left"/>
        <w:rPr>
          <w:rFonts w:ascii="Verdana" w:hAnsi="Verdana"/>
          <w:i/>
          <w:sz w:val="20"/>
        </w:rPr>
      </w:pPr>
      <w:bookmarkStart w:id="0" w:name="_GoBack"/>
      <w:bookmarkEnd w:id="0"/>
    </w:p>
    <w:sectPr>
      <w:headerReference r:id="rId3" w:type="default"/>
      <w:footerReference r:id="rId4" w:type="default"/>
      <w:pgSz w:w="12240" w:h="15840"/>
      <w:pgMar w:top="1560" w:right="1080" w:bottom="1200" w:left="1260" w:header="721" w:footer="100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</w:pPr>
    <w:r>
      <w:pict>
        <v:shape id="_x0000_s1025" o:spid="_x0000_s1025" o:spt="202" type="#_x0000_t202" style="position:absolute;left:0pt;margin-left:299.8pt;margin-top:730.8pt;height:14.15pt;width:12.3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before="19"/>
                  <w:ind w:left="60"/>
                </w:pPr>
                <w: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</w:pPr>
    <w:r>
      <w:pict>
        <v:shape id="_x0000_s1027" o:spid="_x0000_s1027" o:spt="202" type="#_x0000_t202" style="position:absolute;left:0pt;margin-left:328.6pt;margin-top:35.05pt;height:21pt;width:211.9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pStyle w:val="3"/>
                  <w:spacing w:before="19"/>
                  <w:ind w:left="20"/>
                  <w:rPr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cs="Times New Roman"/>
                    <w:sz w:val="18"/>
                    <w:szCs w:val="18"/>
                  </w:rPr>
                  <w:t>Subcontract of Construction&amp; Installation for PV areas</w:t>
                </w:r>
              </w:p>
            </w:txbxContent>
          </v:textbox>
        </v:shape>
      </w:pict>
    </w:r>
    <w:r>
      <w:pict>
        <v:shape id="_x0000_s1028" o:spid="_x0000_s1028" o:spt="202" type="#_x0000_t202" style="position:absolute;left:0pt;margin-left:71pt;margin-top:35.05pt;height:14.15pt;width:271.7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before="19"/>
                  <w:ind w:left="20"/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833BA"/>
    <w:multiLevelType w:val="multilevel"/>
    <w:tmpl w:val="1BA833BA"/>
    <w:lvl w:ilvl="0" w:tentative="0">
      <w:start w:val="3"/>
      <w:numFmt w:val="decimal"/>
      <w:lvlText w:val="%1."/>
      <w:lvlJc w:val="left"/>
      <w:pPr>
        <w:ind w:left="180" w:hanging="195"/>
        <w:jc w:val="left"/>
      </w:pPr>
      <w:rPr>
        <w:rFonts w:hint="default" w:ascii="Segoe UI" w:hAnsi="Segoe UI" w:eastAsia="Segoe UI" w:cs="Segoe UI"/>
        <w:spacing w:val="-2"/>
        <w:w w:val="100"/>
        <w:sz w:val="18"/>
        <w:szCs w:val="18"/>
        <w:lang w:val="en-US" w:eastAsia="en-US" w:bidi="en-US"/>
      </w:rPr>
    </w:lvl>
    <w:lvl w:ilvl="1" w:tentative="0">
      <w:start w:val="0"/>
      <w:numFmt w:val="bullet"/>
      <w:lvlText w:val=""/>
      <w:lvlJc w:val="left"/>
      <w:pPr>
        <w:ind w:left="900" w:hanging="360"/>
      </w:pPr>
      <w:rPr>
        <w:rFonts w:hint="default" w:ascii="Wingdings" w:hAnsi="Wingdings" w:eastAsia="Wingdings" w:cs="Wingdings"/>
        <w:w w:val="99"/>
        <w:sz w:val="20"/>
        <w:szCs w:val="20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1900" w:hanging="360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00" w:hanging="360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900" w:hanging="360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316470"/>
    <w:rsid w:val="000F2C67"/>
    <w:rsid w:val="002F36FE"/>
    <w:rsid w:val="00316470"/>
    <w:rsid w:val="00840431"/>
    <w:rsid w:val="008D192F"/>
    <w:rsid w:val="00A5545A"/>
    <w:rsid w:val="00A80EE6"/>
    <w:rsid w:val="00B7198B"/>
    <w:rsid w:val="00BA04B0"/>
    <w:rsid w:val="00C06868"/>
    <w:rsid w:val="00E30D79"/>
    <w:rsid w:val="0F8C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Verdana" w:hAnsi="Verdana" w:eastAsia="Verdana" w:cs="Verdana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9"/>
    <w:pPr>
      <w:ind w:left="856"/>
      <w:jc w:val="center"/>
      <w:outlineLvl w:val="0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0"/>
      <w:szCs w:val="20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540" w:hanging="361"/>
      <w:jc w:val="both"/>
    </w:pPr>
    <w:rPr>
      <w:rFonts w:ascii="Segoe UI" w:hAnsi="Segoe UI" w:eastAsia="Segoe UI" w:cs="Segoe UI"/>
    </w:rPr>
  </w:style>
  <w:style w:type="paragraph" w:customStyle="1" w:styleId="10">
    <w:name w:val="Table Paragraph"/>
    <w:basedOn w:val="1"/>
    <w:qFormat/>
    <w:uiPriority w:val="1"/>
    <w:pPr>
      <w:spacing w:before="39"/>
      <w:jc w:val="center"/>
    </w:pPr>
  </w:style>
  <w:style w:type="character" w:customStyle="1" w:styleId="11">
    <w:name w:val="页眉 字符"/>
    <w:basedOn w:val="7"/>
    <w:link w:val="5"/>
    <w:qFormat/>
    <w:uiPriority w:val="99"/>
    <w:rPr>
      <w:rFonts w:ascii="Verdana" w:hAnsi="Verdana" w:eastAsia="Verdana" w:cs="Verdana"/>
      <w:sz w:val="18"/>
      <w:szCs w:val="18"/>
      <w:lang w:bidi="en-US"/>
    </w:rPr>
  </w:style>
  <w:style w:type="character" w:customStyle="1" w:styleId="12">
    <w:name w:val="页脚 字符"/>
    <w:basedOn w:val="7"/>
    <w:link w:val="4"/>
    <w:qFormat/>
    <w:uiPriority w:val="99"/>
    <w:rPr>
      <w:rFonts w:ascii="Verdana" w:hAnsi="Verdana" w:eastAsia="Verdana" w:cs="Verdana"/>
      <w:sz w:val="18"/>
      <w:szCs w:val="18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513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2024-08-09T14:34:00Z</dcterms:created>
  <dc:creator>Oier Zarraga Nieto</dc:creator>
  <cp:lastModifiedBy>Louis Liu</cp:lastModifiedBy>
  <dcterms:modified xsi:type="dcterms:W3CDTF">2026-05-19T14:22:04Z</dcterms:modified>
  <dc:subject>Plant Capacity: 100 MWac approx.</dc:subject>
  <dc:title>List of Agreed Subcontractors and Vendors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2024-08-09T00:00:00Z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73074EF18C74446F947A6D749DE8CEAA</vt:lpwstr>
  </property>
</Properties>
</file>